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A5" w:rsidRDefault="00B104A5" w:rsidP="00B104A5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Andrew Brunswick 1870 U.S. Agriculture Census</w:t>
      </w:r>
    </w:p>
    <w:p w:rsidR="00B104A5" w:rsidRDefault="00B104A5" w:rsidP="00B104A5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104A5" w:rsidRPr="00B104A5" w:rsidRDefault="00B104A5" w:rsidP="00B104A5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B104A5">
        <w:rPr>
          <w:rFonts w:ascii="Arial" w:eastAsia="Times New Roman" w:hAnsi="Arial" w:cs="Arial"/>
          <w:b/>
          <w:bCs/>
          <w:color w:val="333333"/>
          <w:sz w:val="20"/>
          <w:szCs w:val="20"/>
        </w:rPr>
        <w:t>Source Citation</w:t>
      </w:r>
    </w:p>
    <w:p w:rsidR="00B104A5" w:rsidRPr="00B104A5" w:rsidRDefault="00B104A5" w:rsidP="00B104A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104A5">
        <w:rPr>
          <w:rFonts w:ascii="Arial" w:eastAsia="Times New Roman" w:hAnsi="Arial" w:cs="Arial"/>
          <w:color w:val="333333"/>
          <w:sz w:val="20"/>
          <w:szCs w:val="20"/>
        </w:rPr>
        <w:t>Census Year: </w:t>
      </w:r>
      <w:r w:rsidRPr="00B104A5">
        <w:rPr>
          <w:rFonts w:ascii="Arial" w:eastAsia="Times New Roman" w:hAnsi="Arial" w:cs="Arial"/>
          <w:i/>
          <w:iCs/>
          <w:color w:val="333333"/>
          <w:sz w:val="20"/>
          <w:szCs w:val="20"/>
        </w:rPr>
        <w:t>1870</w:t>
      </w:r>
      <w:r w:rsidRPr="00B104A5">
        <w:rPr>
          <w:rFonts w:ascii="Arial" w:eastAsia="Times New Roman" w:hAnsi="Arial" w:cs="Arial"/>
          <w:color w:val="333333"/>
          <w:sz w:val="20"/>
          <w:szCs w:val="20"/>
        </w:rPr>
        <w:t>; Census Place: </w:t>
      </w:r>
      <w:r w:rsidRPr="00B104A5">
        <w:rPr>
          <w:rFonts w:ascii="Arial" w:eastAsia="Times New Roman" w:hAnsi="Arial" w:cs="Arial"/>
          <w:i/>
          <w:iCs/>
          <w:color w:val="333333"/>
          <w:sz w:val="20"/>
          <w:szCs w:val="20"/>
        </w:rPr>
        <w:t>German, Auglaize, Ohio</w:t>
      </w:r>
      <w:r w:rsidRPr="00B104A5">
        <w:rPr>
          <w:rFonts w:ascii="Arial" w:eastAsia="Times New Roman" w:hAnsi="Arial" w:cs="Arial"/>
          <w:color w:val="333333"/>
          <w:sz w:val="20"/>
          <w:szCs w:val="20"/>
        </w:rPr>
        <w:t>; Archive Collection Number: </w:t>
      </w:r>
      <w:r w:rsidRPr="00B104A5">
        <w:rPr>
          <w:rFonts w:ascii="Arial" w:eastAsia="Times New Roman" w:hAnsi="Arial" w:cs="Arial"/>
          <w:i/>
          <w:iCs/>
          <w:color w:val="333333"/>
          <w:sz w:val="20"/>
          <w:szCs w:val="20"/>
        </w:rPr>
        <w:t>T1159</w:t>
      </w:r>
      <w:r w:rsidRPr="00B104A5">
        <w:rPr>
          <w:rFonts w:ascii="Arial" w:eastAsia="Times New Roman" w:hAnsi="Arial" w:cs="Arial"/>
          <w:color w:val="333333"/>
          <w:sz w:val="20"/>
          <w:szCs w:val="20"/>
        </w:rPr>
        <w:t>; Roll: </w:t>
      </w:r>
      <w:r w:rsidRPr="00B104A5">
        <w:rPr>
          <w:rFonts w:ascii="Arial" w:eastAsia="Times New Roman" w:hAnsi="Arial" w:cs="Arial"/>
          <w:i/>
          <w:iCs/>
          <w:color w:val="333333"/>
          <w:sz w:val="20"/>
          <w:szCs w:val="20"/>
        </w:rPr>
        <w:t>34</w:t>
      </w:r>
      <w:r w:rsidRPr="00B104A5">
        <w:rPr>
          <w:rFonts w:ascii="Arial" w:eastAsia="Times New Roman" w:hAnsi="Arial" w:cs="Arial"/>
          <w:color w:val="333333"/>
          <w:sz w:val="20"/>
          <w:szCs w:val="20"/>
        </w:rPr>
        <w:t>; Line: </w:t>
      </w:r>
      <w:r w:rsidRPr="00B104A5">
        <w:rPr>
          <w:rFonts w:ascii="Arial" w:eastAsia="Times New Roman" w:hAnsi="Arial" w:cs="Arial"/>
          <w:i/>
          <w:iCs/>
          <w:color w:val="333333"/>
          <w:sz w:val="20"/>
          <w:szCs w:val="20"/>
        </w:rPr>
        <w:t>01</w:t>
      </w:r>
      <w:r w:rsidRPr="00B104A5">
        <w:rPr>
          <w:rFonts w:ascii="Arial" w:eastAsia="Times New Roman" w:hAnsi="Arial" w:cs="Arial"/>
          <w:color w:val="333333"/>
          <w:sz w:val="20"/>
          <w:szCs w:val="20"/>
        </w:rPr>
        <w:t>; Schedule Type: </w:t>
      </w:r>
      <w:r w:rsidRPr="00B104A5">
        <w:rPr>
          <w:rFonts w:ascii="Arial" w:eastAsia="Times New Roman" w:hAnsi="Arial" w:cs="Arial"/>
          <w:i/>
          <w:iCs/>
          <w:color w:val="333333"/>
          <w:sz w:val="20"/>
          <w:szCs w:val="20"/>
        </w:rPr>
        <w:t>Agriculture</w:t>
      </w:r>
    </w:p>
    <w:p w:rsidR="00B104A5" w:rsidRPr="00B104A5" w:rsidRDefault="00B104A5" w:rsidP="00B104A5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B104A5">
        <w:rPr>
          <w:rFonts w:ascii="Arial" w:eastAsia="Times New Roman" w:hAnsi="Arial" w:cs="Arial"/>
          <w:b/>
          <w:bCs/>
          <w:color w:val="333333"/>
          <w:sz w:val="20"/>
          <w:szCs w:val="20"/>
        </w:rPr>
        <w:t>Description</w:t>
      </w:r>
    </w:p>
    <w:p w:rsidR="00B104A5" w:rsidRPr="00B104A5" w:rsidRDefault="00B104A5" w:rsidP="00B104A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104A5">
        <w:rPr>
          <w:rFonts w:ascii="Arial" w:eastAsia="Times New Roman" w:hAnsi="Arial" w:cs="Arial"/>
          <w:color w:val="333333"/>
          <w:sz w:val="20"/>
          <w:szCs w:val="20"/>
        </w:rPr>
        <w:t>Locality: </w:t>
      </w:r>
      <w:r w:rsidRPr="00B104A5">
        <w:rPr>
          <w:rFonts w:ascii="Arial" w:eastAsia="Times New Roman" w:hAnsi="Arial" w:cs="Arial"/>
          <w:i/>
          <w:iCs/>
          <w:color w:val="333333"/>
          <w:sz w:val="20"/>
          <w:szCs w:val="20"/>
        </w:rPr>
        <w:t>German</w:t>
      </w:r>
    </w:p>
    <w:p w:rsidR="00B104A5" w:rsidRPr="00B104A5" w:rsidRDefault="00B104A5" w:rsidP="00B104A5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B104A5">
        <w:rPr>
          <w:rFonts w:ascii="Arial" w:eastAsia="Times New Roman" w:hAnsi="Arial" w:cs="Arial"/>
          <w:b/>
          <w:bCs/>
          <w:color w:val="333333"/>
          <w:sz w:val="20"/>
          <w:szCs w:val="20"/>
        </w:rPr>
        <w:t>Source Information</w:t>
      </w:r>
    </w:p>
    <w:p w:rsidR="00B104A5" w:rsidRPr="00B104A5" w:rsidRDefault="00B104A5" w:rsidP="00B104A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104A5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B104A5">
        <w:rPr>
          <w:rFonts w:ascii="Arial" w:eastAsia="Times New Roman" w:hAnsi="Arial" w:cs="Arial"/>
          <w:i/>
          <w:iCs/>
          <w:color w:val="333333"/>
          <w:sz w:val="20"/>
          <w:szCs w:val="20"/>
        </w:rPr>
        <w:t>Selected U.S. Federal Census Non-Population Schedules, 1850-1880</w:t>
      </w:r>
      <w:r w:rsidRPr="00B104A5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2010.</w:t>
      </w:r>
      <w:r w:rsidRPr="00B104A5">
        <w:rPr>
          <w:rFonts w:ascii="Arial" w:eastAsia="Times New Roman" w:hAnsi="Arial" w:cs="Arial"/>
          <w:color w:val="333333"/>
          <w:sz w:val="20"/>
          <w:szCs w:val="20"/>
        </w:rPr>
        <w:br/>
        <w:t>Original data: </w:t>
      </w:r>
      <w:hyperlink r:id="rId5" w:history="1">
        <w:r w:rsidRPr="00B104A5">
          <w:rPr>
            <w:rFonts w:ascii="Arial" w:eastAsia="Times New Roman" w:hAnsi="Arial" w:cs="Arial"/>
            <w:color w:val="445708"/>
            <w:sz w:val="20"/>
            <w:szCs w:val="20"/>
          </w:rPr>
          <w:t>View all sources</w:t>
        </w:r>
      </w:hyperlink>
      <w:r w:rsidRPr="00B104A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104A5" w:rsidRPr="00B104A5" w:rsidRDefault="00B104A5" w:rsidP="00B104A5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B104A5">
        <w:rPr>
          <w:rFonts w:ascii="Arial" w:eastAsia="Times New Roman" w:hAnsi="Arial" w:cs="Arial"/>
          <w:b/>
          <w:bCs/>
          <w:color w:val="333333"/>
          <w:sz w:val="20"/>
          <w:szCs w:val="20"/>
        </w:rPr>
        <w:t>Source Description</w:t>
      </w:r>
    </w:p>
    <w:p w:rsidR="00B104A5" w:rsidRPr="00B104A5" w:rsidRDefault="00B104A5" w:rsidP="00B104A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104A5">
        <w:rPr>
          <w:rFonts w:ascii="Arial" w:eastAsia="Times New Roman" w:hAnsi="Arial" w:cs="Arial"/>
          <w:color w:val="333333"/>
          <w:sz w:val="20"/>
          <w:szCs w:val="20"/>
        </w:rPr>
        <w:t>This database contains U.S. federal non-population schedules from 1850-1880 for the following states: California, Georgia, Illinois, Iowa, Kansas, Maine, Massachusetts, Michigan, Nebraska, New York, North Carolina, South Carolina, Texas, Virginia, and Washington Territory. Additional states will be added in the future. Non-population schedules contained in this database include: agriculture, industry/manufacturers, social statistics, and supplemental schedules.</w:t>
      </w:r>
    </w:p>
    <w:p w:rsidR="00B104A5" w:rsidRPr="00B104A5" w:rsidRDefault="00B104A5" w:rsidP="00B104A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104A5">
        <w:rPr>
          <w:rFonts w:ascii="Arial" w:eastAsia="Times New Roman" w:hAnsi="Arial" w:cs="Arial"/>
          <w:color w:val="333333"/>
          <w:sz w:val="20"/>
          <w:szCs w:val="20"/>
        </w:rPr>
        <w:t>Viewer built on Microsoft Technology</w:t>
      </w:r>
    </w:p>
    <w:p w:rsidR="004F444A" w:rsidRDefault="004F444A"/>
    <w:p w:rsidR="00B104A5" w:rsidRDefault="00B104A5">
      <w:r>
        <w:t>10 June 2013</w:t>
      </w:r>
      <w:bookmarkStart w:id="0" w:name="_GoBack"/>
      <w:bookmarkEnd w:id="0"/>
    </w:p>
    <w:sectPr w:rsidR="00B1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A5"/>
    <w:rsid w:val="004F444A"/>
    <w:rsid w:val="00B1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04A5"/>
  </w:style>
  <w:style w:type="character" w:styleId="Hyperlink">
    <w:name w:val="Hyperlink"/>
    <w:basedOn w:val="DefaultParagraphFont"/>
    <w:uiPriority w:val="99"/>
    <w:semiHidden/>
    <w:unhideWhenUsed/>
    <w:rsid w:val="00B10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04A5"/>
  </w:style>
  <w:style w:type="character" w:styleId="Hyperlink">
    <w:name w:val="Hyperlink"/>
    <w:basedOn w:val="DefaultParagraphFont"/>
    <w:uiPriority w:val="99"/>
    <w:semiHidden/>
    <w:unhideWhenUsed/>
    <w:rsid w:val="00B10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active.ancestry.com/search/dbextra.aspx?dbid=1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2013-06-10T18:36:00Z</dcterms:created>
  <dcterms:modified xsi:type="dcterms:W3CDTF">2013-06-10T18:37:00Z</dcterms:modified>
</cp:coreProperties>
</file>